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ЭКОЛОГИЧЕСКОЕ ПРОСВЕЩЕНИЕ</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своей деятельности мы пытаемся помочь нашим пользователям в решении следующих вопросов:</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Как защитить свои экологические права?</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Что такое экологические права?</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Право на участие в принятии решений по охране окружающей среды.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Международные соглашения (сохранение природных ресурсов).</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Право на доступ к экологической информации, включающее в себя:</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понятие экологической информации;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классификация экологической информации;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источники и носители экологической информации;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lastRenderedPageBreak/>
        <w:t>* ресурсы экологической информации, доступные населению через библиотеки;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книги, периодические издания на традиционных носителях;</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издания на нетрадиционных носителях;</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информационные ресурсы Интернет;</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неопубликованные документы.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Можно выделить следующие тематические блоки экологической информации: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социальная экология, рассматривающая взаимоотношения общества и природы;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Источниками экологической информации являются:</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документы, содержащие философско-теоретическое и научное осмысление концепции устойчивого развития, глобальных экологических проблем;</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документы о состоянии окружающей среды и мерах по её охране;</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lastRenderedPageBreak/>
        <w:t>— документы, отражающие традиционные знания о природе и природопользовании коренных малочисленных народов Российской Федерации;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нормативно-правовые акты, полностью или частично посвященные вопросам экологии;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документы по контролю за соблюдением нормативов, стандартов, а также по лицензированию и сертификации товаров, работ и услуг;</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документы об экологических правонарушениях, преступлениях и мерах по их пресечению и расследованию;</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документы с прогнозами возникновения либо дальнейшего развития экологических ситуаций;</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кадастры природных ресурсов, экологически важных объектов и веществ, образующихся в результате производства или потребления;</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данные экологического мониторинга;</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материалы государственного статистического учёта и учёта природных ресурсов (экологического учёта);</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регистры и реестры веществ, объектов и сооружений, имеющих экологическую значимость;</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экологические стандарты для предприятий.</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Документы по экологии на традиционных носителях:</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lastRenderedPageBreak/>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 «КонсультантПлюс»,«Кодекс», «Референт», «Гарант», «Свод законов российской империи», профессиональная специализированная справочная система «Эксперт: Экология»).</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ДЕЯТЕЛЬНОСТЬ АДМИНИСТРАЦИИ  ПОСЕЛЕНИЯ ПО ЭКОЛОГИЧЕСКОМУ ПРОСВЕЩЕНИЮ</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Памятки и информационные материалы о пожарах в лесах, прибрежных полосах размещены в разделе ГО и ЧС.</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Информация о проводимых мероприятиях размещается в разделе Новости.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Экологические сайты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Ecocom — всеобэкологии </w:t>
      </w:r>
      <w:hyperlink r:id="rId4" w:tgtFrame="_blank" w:history="1">
        <w:r>
          <w:rPr>
            <w:rStyle w:val="a4"/>
            <w:rFonts w:ascii="Segoe UI" w:hAnsi="Segoe UI" w:cs="Segoe UI"/>
            <w:color w:val="669AE6"/>
            <w:sz w:val="21"/>
            <w:szCs w:val="21"/>
          </w:rPr>
          <w:t>http://www.ecocommunity.ru/</w:t>
        </w:r>
      </w:hyperlink>
      <w:r>
        <w:rPr>
          <w:rFonts w:ascii="Segoe UI" w:hAnsi="Segoe UI" w:cs="Segoe UI"/>
          <w:color w:val="3F4758"/>
          <w:sz w:val="21"/>
          <w:szCs w:val="21"/>
        </w:rPr>
        <w:br/>
        <w:t>FacePla.net — экологический дайджест позитивной информации об экологии и технологии </w:t>
      </w:r>
      <w:hyperlink r:id="rId5" w:tgtFrame="_blank" w:history="1">
        <w:r>
          <w:rPr>
            <w:rStyle w:val="a4"/>
            <w:rFonts w:ascii="Segoe UI" w:hAnsi="Segoe UI" w:cs="Segoe UI"/>
            <w:color w:val="669AE6"/>
            <w:sz w:val="21"/>
            <w:szCs w:val="21"/>
          </w:rPr>
          <w:t>http://facepla.net/</w:t>
        </w:r>
      </w:hyperlink>
      <w:r>
        <w:rPr>
          <w:rFonts w:ascii="Segoe UI" w:hAnsi="Segoe UI" w:cs="Segoe UI"/>
          <w:color w:val="3F4758"/>
          <w:sz w:val="21"/>
          <w:szCs w:val="21"/>
        </w:rPr>
        <w:br/>
        <w:t>Saveplanet.su – «Сохраним планету» </w:t>
      </w:r>
      <w:hyperlink r:id="rId6" w:tgtFrame="_blank" w:history="1">
        <w:r>
          <w:rPr>
            <w:rStyle w:val="a4"/>
            <w:rFonts w:ascii="Segoe UI" w:hAnsi="Segoe UI" w:cs="Segoe UI"/>
            <w:color w:val="669AE6"/>
            <w:sz w:val="21"/>
            <w:szCs w:val="21"/>
          </w:rPr>
          <w:t>http://www.saveplanet.su/</w:t>
        </w:r>
      </w:hyperlink>
      <w:r>
        <w:rPr>
          <w:rFonts w:ascii="Segoe UI" w:hAnsi="Segoe UI" w:cs="Segoe UI"/>
          <w:color w:val="3F4758"/>
          <w:sz w:val="21"/>
          <w:szCs w:val="21"/>
        </w:rPr>
        <w:br/>
        <w:t>Всемирный фонд дикой природы (WWF) </w:t>
      </w:r>
      <w:hyperlink r:id="rId7" w:tgtFrame="_blank" w:history="1">
        <w:r>
          <w:rPr>
            <w:rStyle w:val="a4"/>
            <w:rFonts w:ascii="Segoe UI" w:hAnsi="Segoe UI" w:cs="Segoe UI"/>
            <w:color w:val="669AE6"/>
            <w:sz w:val="21"/>
            <w:szCs w:val="21"/>
          </w:rPr>
          <w:t>http://wwf.panda.org/</w:t>
        </w:r>
      </w:hyperlink>
      <w:r>
        <w:rPr>
          <w:rFonts w:ascii="Segoe UI" w:hAnsi="Segoe UI" w:cs="Segoe UI"/>
          <w:color w:val="3F4758"/>
          <w:sz w:val="21"/>
          <w:szCs w:val="21"/>
        </w:rPr>
        <w:br/>
      </w:r>
      <w:r>
        <w:rPr>
          <w:rFonts w:ascii="Segoe UI" w:hAnsi="Segoe UI" w:cs="Segoe UI"/>
          <w:color w:val="3F4758"/>
          <w:sz w:val="21"/>
          <w:szCs w:val="21"/>
        </w:rPr>
        <w:lastRenderedPageBreak/>
        <w:t>Гринпис России </w:t>
      </w:r>
      <w:hyperlink r:id="rId8" w:tgtFrame="_blank" w:history="1">
        <w:r>
          <w:rPr>
            <w:rStyle w:val="a4"/>
            <w:rFonts w:ascii="Segoe UI" w:hAnsi="Segoe UI" w:cs="Segoe UI"/>
            <w:color w:val="669AE6"/>
            <w:sz w:val="21"/>
            <w:szCs w:val="21"/>
          </w:rPr>
          <w:t>http://www.greenpeace.org/russia/ru/</w:t>
        </w:r>
      </w:hyperlink>
      <w:r>
        <w:rPr>
          <w:rFonts w:ascii="Segoe UI" w:hAnsi="Segoe UI" w:cs="Segoe UI"/>
          <w:color w:val="3F4758"/>
          <w:sz w:val="21"/>
          <w:szCs w:val="21"/>
        </w:rPr>
        <w:br/>
        <w:t>Министерство природных ресурсов России </w:t>
      </w:r>
      <w:hyperlink r:id="rId9" w:tgtFrame="_blank" w:history="1">
        <w:r>
          <w:rPr>
            <w:rStyle w:val="a4"/>
            <w:rFonts w:ascii="Segoe UI" w:hAnsi="Segoe UI" w:cs="Segoe UI"/>
            <w:color w:val="669AE6"/>
            <w:sz w:val="21"/>
            <w:szCs w:val="21"/>
          </w:rPr>
          <w:t>http://www.mnr.gov.ru/</w:t>
        </w:r>
      </w:hyperlink>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систему правовой охраны природы России входят четыре группы юридических мероприятий</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1) правовое регулирование отношений по использованию, сохранению и возобновлению природных ресурсов;</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2) организация воспитания и обучения кадров, финансирование и материально-техническое обеспечение природоохранных действий;</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3) государственный и общественный контроль за выполнением требований охраны природы;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4) юридическая ответственность правонарушителей.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Система экологического законодательства, руководствующаяся идеями основополагающих конституционных актов, включает две подсистемы: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природоохранное</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природоресурсное законодательство</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подсистему природоресурсного законодательства входят:</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Земельный кодекс РФ (ФЗ № 136 от 25.10.2001 г.),</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lastRenderedPageBreak/>
        <w:t>Закон РФ от 21 февраля 1992 г. № 2395-1 «О недрах»,</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Лесной кодекс РФ (ФЗ № 200 от 04.12.2006 г.),</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Водный кодекс РФ( ФЗ № 74 от 03.06.2006 г.),</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Федеральный закон от 24 апреля 1995 г. № 52-ФЗ «О животном мире», а также другие законодательные и нормативные акты субъектов РФ.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 16 главах Закона закрепляются следующие правовые положения:</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lastRenderedPageBreak/>
        <w:t>основы управления в области охраны окружающей среды;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права и обязанности граждан, общественных и иных некоммерческих объединений в области охраны окружающей среды;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экономическое регулирование в области охраны окружающей среды;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нормирование в области охраны окружающей среды;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оценка воздействия на окружающую среду и экологическая экспертиза;</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требования в области охраны окружающей среды при осуществлении хозяйственной деятельности;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зоны экологического бедствия, зоны чрезвычайных ситуаций;</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государственный мониторинг окружающей среды (государственный экологический мониторинг);</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контроль в области охраны окружающей среды (экологический контроль);</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научные исследования в области охраны окружающей среды;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основы формирования экологической культуры;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международное сотрудничество в области охраны окружающей среды.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Правовые нормы по охране природы и рациональному природопользованию содержатся и в других актах природоресурсного законодательства России. К ним относятся Лесной кодекс РФ, Водный кодекс РФ, Федеральный закон «О животном мире» и др.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xml:space="preserve">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w:t>
      </w:r>
      <w:r>
        <w:rPr>
          <w:rFonts w:ascii="Segoe UI" w:hAnsi="Segoe UI" w:cs="Segoe UI"/>
          <w:color w:val="3F4758"/>
          <w:sz w:val="21"/>
          <w:szCs w:val="21"/>
        </w:rPr>
        <w:lastRenderedPageBreak/>
        <w:t>1994 г. № 238 «О государственной стратегии Российской Федерации по охране окружающей среды и обеспечению устойчивого развития».</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Постановления Правительства РФ по вопросам экологии можно разбить на три группы.</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К первой группе относятся те, которые принимаются во исполнение закона для конкретизации отдельных положений.</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Вторая группа постановлений предназначена для определения компетенции органов управления и контроля.</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Третья группа постановлений включает нормативно-правовые акты дальнейшего правового регулирования экологических отношений.</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экологизация нормативных актов, регулирующих экономическую, хозяйственную и </w:t>
      </w:r>
      <w:r>
        <w:rPr>
          <w:rFonts w:ascii="Segoe UI" w:hAnsi="Segoe UI" w:cs="Segoe UI"/>
          <w:color w:val="3F4758"/>
          <w:sz w:val="21"/>
          <w:szCs w:val="21"/>
        </w:rPr>
        <w:lastRenderedPageBreak/>
        <w:t>административную деятельность предприятий. Под экологизацией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83362D" w:rsidRDefault="0083362D" w:rsidP="0083362D">
      <w:pPr>
        <w:pStyle w:val="a3"/>
        <w:shd w:val="clear" w:color="auto" w:fill="FFFFFF"/>
        <w:spacing w:before="0" w:beforeAutospacing="0" w:after="315" w:afterAutospacing="0"/>
        <w:rPr>
          <w:rFonts w:ascii="Segoe UI" w:hAnsi="Segoe UI" w:cs="Segoe UI"/>
          <w:color w:val="3F4758"/>
          <w:sz w:val="21"/>
          <w:szCs w:val="21"/>
        </w:rPr>
      </w:pPr>
      <w:r>
        <w:rPr>
          <w:rFonts w:ascii="Segoe UI" w:hAnsi="Segoe UI" w:cs="Segoe UI"/>
          <w:color w:val="3F4758"/>
          <w:sz w:val="21"/>
          <w:szCs w:val="21"/>
        </w:rPr>
        <w:t>Берегите природу и ее экологическое состояние !</w:t>
      </w:r>
    </w:p>
    <w:p w:rsidR="007250B6" w:rsidRDefault="0083362D"/>
    <w:sectPr w:rsidR="007250B6" w:rsidSect="00154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3362D"/>
    <w:rsid w:val="001540DD"/>
    <w:rsid w:val="001F7CEE"/>
    <w:rsid w:val="0023107C"/>
    <w:rsid w:val="00713BF1"/>
    <w:rsid w:val="0083362D"/>
    <w:rsid w:val="00925DF2"/>
    <w:rsid w:val="00D569F8"/>
    <w:rsid w:val="00DA2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362D"/>
    <w:rPr>
      <w:color w:val="0000FF"/>
      <w:u w:val="single"/>
    </w:rPr>
  </w:style>
</w:styles>
</file>

<file path=word/webSettings.xml><?xml version="1.0" encoding="utf-8"?>
<w:webSettings xmlns:r="http://schemas.openxmlformats.org/officeDocument/2006/relationships" xmlns:w="http://schemas.openxmlformats.org/wordprocessingml/2006/main">
  <w:divs>
    <w:div w:id="3550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peace.org/russia/ru/" TargetMode="External"/><Relationship Id="rId3" Type="http://schemas.openxmlformats.org/officeDocument/2006/relationships/webSettings" Target="webSettings.xml"/><Relationship Id="rId7" Type="http://schemas.openxmlformats.org/officeDocument/2006/relationships/hyperlink" Target="http://wwf.pand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veplanet.su/" TargetMode="External"/><Relationship Id="rId11" Type="http://schemas.openxmlformats.org/officeDocument/2006/relationships/theme" Target="theme/theme1.xml"/><Relationship Id="rId5" Type="http://schemas.openxmlformats.org/officeDocument/2006/relationships/hyperlink" Target="http://facepla.net/" TargetMode="External"/><Relationship Id="rId10" Type="http://schemas.openxmlformats.org/officeDocument/2006/relationships/fontTable" Target="fontTable.xml"/><Relationship Id="rId4" Type="http://schemas.openxmlformats.org/officeDocument/2006/relationships/hyperlink" Target="http://www.ecocommunity.ru/" TargetMode="External"/><Relationship Id="rId9" Type="http://schemas.openxmlformats.org/officeDocument/2006/relationships/hyperlink" Target="http://www.mn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3209</Words>
  <Characters>18297</Characters>
  <Application>Microsoft Office Word</Application>
  <DocSecurity>0</DocSecurity>
  <Lines>152</Lines>
  <Paragraphs>42</Paragraphs>
  <ScaleCrop>false</ScaleCrop>
  <Company>Home</Company>
  <LinksUpToDate>false</LinksUpToDate>
  <CharactersWithSpaces>21464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2022-01-26T02:59:00Z</dcterms:created>
  <dcterms:modified xsi:type="dcterms:W3CDTF">2022-01-26T02:59:00Z</dcterms:modified>
</cp:coreProperties>
</file>